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214" w:tblpY="24"/>
        <w:tblW w:w="99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28"/>
        <w:gridCol w:w="425"/>
        <w:gridCol w:w="2127"/>
        <w:gridCol w:w="3612"/>
      </w:tblGrid>
      <w:tr w:rsidR="00B77922" w:rsidRPr="00B9098B" w:rsidTr="00C942DE">
        <w:trPr>
          <w:trHeight w:val="633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B77922" w:rsidRDefault="00B77922" w:rsidP="00A3733E">
            <w:pPr>
              <w:spacing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E12786"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pt-PT"/>
              </w:rPr>
              <w:t xml:space="preserve">Domínios </w:t>
            </w:r>
            <w:proofErr w:type="spellStart"/>
            <w:r w:rsidRPr="00E12786"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pt-PT"/>
              </w:rPr>
              <w:t>QdV</w:t>
            </w:r>
            <w:proofErr w:type="spellEnd"/>
            <w:r w:rsidRPr="00E12786"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pt-PT"/>
              </w:rPr>
              <w:t xml:space="preserve"> (OMS)</w:t>
            </w:r>
          </w:p>
          <w:p w:rsidR="00B77922" w:rsidRPr="00E12786" w:rsidRDefault="00B77922" w:rsidP="00A3733E">
            <w:pPr>
              <w:spacing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pt-PT"/>
              </w:rPr>
              <w:t>Indicadores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77922" w:rsidRPr="00E12786" w:rsidRDefault="00B77922" w:rsidP="00A3733E">
            <w:pPr>
              <w:spacing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B77922" w:rsidRPr="00E12786" w:rsidRDefault="00B77922" w:rsidP="00A3733E">
            <w:pPr>
              <w:spacing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E12786"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pt-PT"/>
              </w:rPr>
              <w:t>Tipologia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B77922" w:rsidRPr="00E12786" w:rsidRDefault="00B77922" w:rsidP="00A3733E">
            <w:pPr>
              <w:spacing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E12786"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pt-PT"/>
              </w:rPr>
              <w:t>Atividades e Serviços</w:t>
            </w:r>
          </w:p>
        </w:tc>
      </w:tr>
      <w:tr w:rsidR="00E24D25" w:rsidRPr="00B9098B" w:rsidTr="00C942DE">
        <w:trPr>
          <w:trHeight w:val="867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4D25" w:rsidRPr="00A3733E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A3733E"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  <w:t>Domínio Físico</w:t>
            </w:r>
          </w:p>
          <w:p w:rsidR="00E24D25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3. Dor e desconforto</w:t>
            </w:r>
          </w:p>
          <w:p w:rsidR="00E24D25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4. Energia e fadiga</w:t>
            </w:r>
          </w:p>
          <w:p w:rsidR="00E24D25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10. Sono e repouso</w:t>
            </w:r>
          </w:p>
          <w:p w:rsidR="00E24D25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15. Mobilidade</w:t>
            </w:r>
          </w:p>
          <w:p w:rsidR="00E24D25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16. Atividades da vida quotidiana</w:t>
            </w:r>
          </w:p>
          <w:p w:rsidR="00E24D25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17. Dependência de medicação ou de tratamentos</w:t>
            </w:r>
          </w:p>
          <w:p w:rsidR="00E24D25" w:rsidRPr="00AF0231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18. Capacidade de trabalho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24D25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24D25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  <w:t>Cuidados Pessoais e de Saúde</w:t>
            </w:r>
          </w:p>
        </w:tc>
        <w:tc>
          <w:tcPr>
            <w:tcW w:w="3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4D25" w:rsidRPr="00B9098B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Cuidados de higiene e conforto pessoal</w:t>
            </w:r>
          </w:p>
        </w:tc>
      </w:tr>
      <w:tr w:rsidR="00E24D25" w:rsidRPr="00B9098B" w:rsidTr="00A3733E">
        <w:trPr>
          <w:trHeight w:val="697"/>
        </w:trPr>
        <w:tc>
          <w:tcPr>
            <w:tcW w:w="3828" w:type="dxa"/>
            <w:vMerge/>
            <w:shd w:val="clear" w:color="auto" w:fill="auto"/>
            <w:vAlign w:val="center"/>
          </w:tcPr>
          <w:p w:rsidR="00E24D25" w:rsidRPr="00AA1998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24D25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2127" w:type="dxa"/>
            <w:vMerge/>
            <w:shd w:val="clear" w:color="auto" w:fill="92CDDC" w:themeFill="accent5" w:themeFillTint="99"/>
            <w:noWrap/>
            <w:vAlign w:val="center"/>
            <w:hideMark/>
          </w:tcPr>
          <w:p w:rsidR="00E24D25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:rsidR="00E24D25" w:rsidRPr="00B9098B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Cuidados de imagem</w:t>
            </w:r>
          </w:p>
        </w:tc>
      </w:tr>
      <w:tr w:rsidR="00E24D25" w:rsidRPr="00B9098B" w:rsidTr="00A3733E">
        <w:trPr>
          <w:trHeight w:val="1271"/>
        </w:trPr>
        <w:tc>
          <w:tcPr>
            <w:tcW w:w="3828" w:type="dxa"/>
            <w:vMerge/>
            <w:shd w:val="clear" w:color="auto" w:fill="auto"/>
            <w:vAlign w:val="center"/>
          </w:tcPr>
          <w:p w:rsidR="00E24D25" w:rsidRPr="00AA1998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24D25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2127" w:type="dxa"/>
            <w:vMerge/>
            <w:shd w:val="clear" w:color="auto" w:fill="92CDDC" w:themeFill="accent5" w:themeFillTint="99"/>
            <w:noWrap/>
            <w:vAlign w:val="center"/>
            <w:hideMark/>
          </w:tcPr>
          <w:p w:rsidR="00E24D25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:rsidR="00E24D25" w:rsidRPr="00B9098B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Apoio na toma da medicação e</w:t>
            </w:r>
            <w:r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 xml:space="preserve"> acompanhamento de terapêutica; </w:t>
            </w: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verificação de sinais vitais</w:t>
            </w:r>
          </w:p>
        </w:tc>
      </w:tr>
      <w:tr w:rsidR="00E24D25" w:rsidRPr="00B9098B" w:rsidTr="00A3733E">
        <w:trPr>
          <w:trHeight w:val="694"/>
        </w:trPr>
        <w:tc>
          <w:tcPr>
            <w:tcW w:w="3828" w:type="dxa"/>
            <w:vMerge/>
            <w:shd w:val="clear" w:color="auto" w:fill="auto"/>
            <w:vAlign w:val="center"/>
          </w:tcPr>
          <w:p w:rsidR="00E24D25" w:rsidRPr="00AA1998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24D25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2127" w:type="dxa"/>
            <w:vMerge w:val="restart"/>
            <w:shd w:val="clear" w:color="auto" w:fill="FABF8F" w:themeFill="accent6" w:themeFillTint="99"/>
            <w:noWrap/>
            <w:vAlign w:val="center"/>
            <w:hideMark/>
          </w:tcPr>
          <w:p w:rsidR="00E24D25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  <w:t>Fornecimento e Apoio na Alimentação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E24D25" w:rsidRPr="00B9098B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 xml:space="preserve">Fornecimento de </w:t>
            </w: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refeições</w:t>
            </w:r>
          </w:p>
        </w:tc>
      </w:tr>
      <w:tr w:rsidR="00E24D25" w:rsidRPr="00B9098B" w:rsidTr="00A3733E">
        <w:trPr>
          <w:trHeight w:val="831"/>
        </w:trPr>
        <w:tc>
          <w:tcPr>
            <w:tcW w:w="3828" w:type="dxa"/>
            <w:vMerge/>
            <w:shd w:val="clear" w:color="auto" w:fill="auto"/>
            <w:vAlign w:val="center"/>
          </w:tcPr>
          <w:p w:rsidR="00E24D25" w:rsidRPr="00AA1998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24D25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2127" w:type="dxa"/>
            <w:vMerge/>
            <w:shd w:val="clear" w:color="auto" w:fill="FABF8F" w:themeFill="accent6" w:themeFillTint="99"/>
            <w:noWrap/>
            <w:vAlign w:val="center"/>
            <w:hideMark/>
          </w:tcPr>
          <w:p w:rsidR="00E24D25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:rsidR="00E24D25" w:rsidRPr="00B9098B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 xml:space="preserve">Alimentação </w:t>
            </w:r>
            <w:r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(</w:t>
            </w: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assistida ou supervisionada</w:t>
            </w:r>
            <w:r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)</w:t>
            </w:r>
          </w:p>
        </w:tc>
      </w:tr>
      <w:tr w:rsidR="00E24D25" w:rsidRPr="00B9098B" w:rsidTr="00C942DE">
        <w:trPr>
          <w:trHeight w:val="983"/>
        </w:trPr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25" w:rsidRPr="00AA1998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4D25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4D25" w:rsidRPr="00B9098B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  <w:t>Apoio nas Atividades Instrumentais da Vida Quotidiana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25" w:rsidRPr="00B9098B" w:rsidRDefault="00E24D25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Acesso e manutenção de produtos de apoio</w:t>
            </w:r>
          </w:p>
        </w:tc>
      </w:tr>
      <w:tr w:rsidR="005F27AD" w:rsidRPr="00B9098B" w:rsidTr="00C942DE">
        <w:trPr>
          <w:trHeight w:val="354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F27AD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  <w:t>Domínio Psicológico</w:t>
            </w:r>
          </w:p>
          <w:p w:rsidR="005F27AD" w:rsidRPr="008D3D79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 w:rsidRPr="008D3D79"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5. Sentimentos positivos</w:t>
            </w:r>
          </w:p>
          <w:p w:rsidR="005F27AD" w:rsidRPr="008D3D79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 w:rsidRPr="008D3D79"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6. Pensar, aprender, memória e concentração</w:t>
            </w:r>
          </w:p>
          <w:p w:rsidR="005F27AD" w:rsidRPr="008D3D79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 w:rsidRPr="008D3D79"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7. Autoestima</w:t>
            </w:r>
          </w:p>
          <w:p w:rsidR="005F27AD" w:rsidRPr="008D3D79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 w:rsidRPr="008D3D79"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11. Imagem corporal e aparência</w:t>
            </w:r>
          </w:p>
          <w:p w:rsidR="005F27AD" w:rsidRPr="008D3D79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 w:rsidRPr="008D3D79"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19. Sentimentos negativos</w:t>
            </w:r>
          </w:p>
          <w:p w:rsidR="005F27AD" w:rsidRPr="00AA1998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8D3D79"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26. Espiritualidade/religião/</w:t>
            </w:r>
            <w:r w:rsidR="00A3733E"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 xml:space="preserve"> </w:t>
            </w:r>
            <w:r w:rsidRPr="008D3D79"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crenças pessoais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27AD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5F27AD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  <w:t>Atividades Psicossociais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7AD" w:rsidRPr="00B9098B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 xml:space="preserve">Atividades terapêuticas, </w:t>
            </w:r>
            <w:r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 xml:space="preserve">psicológicas, de motricidade, </w:t>
            </w: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de estimulação cognitiva e sensorial</w:t>
            </w:r>
          </w:p>
        </w:tc>
      </w:tr>
      <w:tr w:rsidR="005F27AD" w:rsidRPr="00B9098B" w:rsidTr="00C942DE">
        <w:trPr>
          <w:trHeight w:val="1096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27AD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  <w:t>Relações Sociais</w:t>
            </w:r>
          </w:p>
          <w:p w:rsidR="005F27AD" w:rsidRPr="008D3D79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 w:rsidRPr="008D3D79"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20. Relações pessoais</w:t>
            </w:r>
          </w:p>
          <w:p w:rsidR="005F27AD" w:rsidRPr="008D3D79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 w:rsidRPr="008D3D79"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21. Suporte (apoio) social</w:t>
            </w:r>
          </w:p>
          <w:p w:rsidR="005F27AD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8D3D79"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22. Atividade sexual</w:t>
            </w: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</w:tcPr>
          <w:p w:rsidR="005F27AD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F27AD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  <w:t>Apoio nas Atividades Instrumentais da Vida Quotidiana</w:t>
            </w:r>
          </w:p>
        </w:tc>
        <w:tc>
          <w:tcPr>
            <w:tcW w:w="3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27AD" w:rsidRPr="00B9098B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Informação e capacitação dos cuidadores informais</w:t>
            </w:r>
          </w:p>
        </w:tc>
      </w:tr>
      <w:tr w:rsidR="005F27AD" w:rsidRPr="00B9098B" w:rsidTr="00C942DE">
        <w:trPr>
          <w:trHeight w:val="1096"/>
        </w:trPr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7AD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27AD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F27AD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7AD" w:rsidRPr="00B9098B" w:rsidRDefault="005F27AD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 xml:space="preserve">Acompanhamento diurno no domicílio, por ausência ou inexistência do cuidador informal, para supervisão </w:t>
            </w:r>
            <w:r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 xml:space="preserve">e </w:t>
            </w: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para a prestação dos cuidados necessários (descanso do cuidador)</w:t>
            </w:r>
          </w:p>
        </w:tc>
      </w:tr>
      <w:tr w:rsidR="00D07538" w:rsidRPr="00B9098B" w:rsidTr="00C942DE">
        <w:trPr>
          <w:trHeight w:val="978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  <w:lastRenderedPageBreak/>
              <w:t>Meio Ambiente</w:t>
            </w:r>
          </w:p>
          <w:p w:rsidR="00D07538" w:rsidRPr="00975370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 w:rsidRPr="00975370"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8. Segurança física e proteção</w:t>
            </w:r>
          </w:p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 w:rsidRPr="00975370"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9. Ambiente no lar</w:t>
            </w:r>
          </w:p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12. Recursos financeiros</w:t>
            </w:r>
          </w:p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13. Cuidados de saúde e sociais</w:t>
            </w:r>
          </w:p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14. Oportunidades de adquirir novas informações e habilidades</w:t>
            </w:r>
          </w:p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23. Participação em/e oportunidades de recreação/lazer</w:t>
            </w:r>
          </w:p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24. Ambiente físico</w:t>
            </w:r>
          </w:p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  <w:t>25. Transporte</w:t>
            </w:r>
          </w:p>
          <w:p w:rsidR="00D07538" w:rsidRPr="00975370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</w:p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  <w:t>Atividades Psicossociais</w:t>
            </w:r>
          </w:p>
        </w:tc>
        <w:tc>
          <w:tcPr>
            <w:tcW w:w="36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7538" w:rsidRDefault="00D07538" w:rsidP="00A3733E">
            <w:pPr>
              <w:spacing w:line="240" w:lineRule="auto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Serviço de transporte:</w:t>
            </w:r>
          </w:p>
          <w:p w:rsidR="00D07538" w:rsidRDefault="00D07538" w:rsidP="00A3733E">
            <w:pPr>
              <w:spacing w:line="240" w:lineRule="auto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 xml:space="preserve">- </w:t>
            </w: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Acompanhamento a serviços, nomeadamente de saúde e outros</w:t>
            </w:r>
          </w:p>
          <w:p w:rsidR="00D07538" w:rsidRPr="00B9098B" w:rsidRDefault="00D07538" w:rsidP="00A3733E">
            <w:pPr>
              <w:spacing w:line="240" w:lineRule="auto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- Acompanhamento</w:t>
            </w: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 xml:space="preserve"> a atividades na comunidade ou para passeios higiénicos</w:t>
            </w:r>
          </w:p>
        </w:tc>
      </w:tr>
      <w:tr w:rsidR="00D07538" w:rsidRPr="00B9098B" w:rsidTr="00A3733E">
        <w:trPr>
          <w:trHeight w:val="834"/>
        </w:trPr>
        <w:tc>
          <w:tcPr>
            <w:tcW w:w="3828" w:type="dxa"/>
            <w:vMerge/>
            <w:shd w:val="clear" w:color="auto" w:fill="C2D69B" w:themeFill="accent3" w:themeFillTint="99"/>
            <w:vAlign w:val="center"/>
          </w:tcPr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2127" w:type="dxa"/>
            <w:vMerge/>
            <w:shd w:val="clear" w:color="auto" w:fill="C4BC96" w:themeFill="background2" w:themeFillShade="BF"/>
            <w:noWrap/>
            <w:vAlign w:val="center"/>
            <w:hideMark/>
          </w:tcPr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3612" w:type="dxa"/>
            <w:shd w:val="clear" w:color="auto" w:fill="auto"/>
            <w:vAlign w:val="bottom"/>
          </w:tcPr>
          <w:p w:rsidR="00D07538" w:rsidRDefault="00D07538" w:rsidP="00A3733E">
            <w:pPr>
              <w:spacing w:line="240" w:lineRule="auto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Aquisição de bens e géneros alimentícios, pagamento de serviço</w:t>
            </w:r>
            <w:r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s</w:t>
            </w:r>
          </w:p>
        </w:tc>
      </w:tr>
      <w:tr w:rsidR="00D07538" w:rsidRPr="00B9098B" w:rsidTr="00A3733E">
        <w:trPr>
          <w:trHeight w:val="913"/>
        </w:trPr>
        <w:tc>
          <w:tcPr>
            <w:tcW w:w="3828" w:type="dxa"/>
            <w:vMerge/>
            <w:shd w:val="clear" w:color="auto" w:fill="C2D69B" w:themeFill="accent3" w:themeFillTint="99"/>
            <w:vAlign w:val="center"/>
          </w:tcPr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2127" w:type="dxa"/>
            <w:vMerge/>
            <w:shd w:val="clear" w:color="auto" w:fill="C4BC96" w:themeFill="background2" w:themeFillShade="BF"/>
            <w:noWrap/>
            <w:vAlign w:val="center"/>
            <w:hideMark/>
          </w:tcPr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3612" w:type="dxa"/>
            <w:shd w:val="clear" w:color="auto" w:fill="auto"/>
            <w:vAlign w:val="bottom"/>
          </w:tcPr>
          <w:p w:rsidR="00D07538" w:rsidRDefault="00D07538" w:rsidP="00A3733E">
            <w:pPr>
              <w:spacing w:line="240" w:lineRule="auto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 xml:space="preserve">Oferta de produtos alimentares e </w:t>
            </w:r>
            <w:r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 xml:space="preserve">de </w:t>
            </w: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outros recurso</w:t>
            </w:r>
            <w:r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s</w:t>
            </w:r>
          </w:p>
        </w:tc>
      </w:tr>
      <w:tr w:rsidR="00D07538" w:rsidRPr="00B9098B" w:rsidTr="00A3733E">
        <w:trPr>
          <w:trHeight w:val="1055"/>
        </w:trPr>
        <w:tc>
          <w:tcPr>
            <w:tcW w:w="3828" w:type="dxa"/>
            <w:vMerge/>
            <w:shd w:val="clear" w:color="auto" w:fill="C2D69B" w:themeFill="accent3" w:themeFillTint="99"/>
            <w:vAlign w:val="center"/>
          </w:tcPr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2127" w:type="dxa"/>
            <w:vMerge/>
            <w:shd w:val="clear" w:color="auto" w:fill="C4BC96" w:themeFill="background2" w:themeFillShade="BF"/>
            <w:noWrap/>
            <w:vAlign w:val="center"/>
            <w:hideMark/>
          </w:tcPr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3612" w:type="dxa"/>
            <w:shd w:val="clear" w:color="auto" w:fill="auto"/>
            <w:vAlign w:val="bottom"/>
          </w:tcPr>
          <w:p w:rsidR="00D07538" w:rsidRPr="00B9098B" w:rsidRDefault="00D07538" w:rsidP="00A3733E">
            <w:pPr>
              <w:spacing w:line="240" w:lineRule="auto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 xml:space="preserve">Atividades culturais, de </w:t>
            </w:r>
            <w:r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lazer, religiosas, recreativas,</w:t>
            </w: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 xml:space="preserve"> ocupacionais e desportivas</w:t>
            </w:r>
            <w:r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/</w:t>
            </w:r>
            <w:proofErr w:type="spellStart"/>
            <w:r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ATI´s</w:t>
            </w:r>
            <w:proofErr w:type="spellEnd"/>
          </w:p>
        </w:tc>
      </w:tr>
      <w:tr w:rsidR="00D07538" w:rsidRPr="00B9098B" w:rsidTr="00A3733E">
        <w:trPr>
          <w:trHeight w:val="354"/>
        </w:trPr>
        <w:tc>
          <w:tcPr>
            <w:tcW w:w="3828" w:type="dxa"/>
            <w:vMerge/>
            <w:shd w:val="clear" w:color="auto" w:fill="C2D69B" w:themeFill="accent3" w:themeFillTint="99"/>
            <w:vAlign w:val="center"/>
          </w:tcPr>
          <w:p w:rsidR="00D07538" w:rsidRPr="00AF0231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2127" w:type="dxa"/>
            <w:vMerge w:val="restart"/>
            <w:shd w:val="clear" w:color="auto" w:fill="E5DFEC" w:themeFill="accent4" w:themeFillTint="33"/>
            <w:noWrap/>
            <w:vAlign w:val="center"/>
            <w:hideMark/>
          </w:tcPr>
          <w:p w:rsidR="00D07538" w:rsidRPr="00B9098B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  <w:t>Apoio nas Atividades Instrumentais da Vida Quotidiana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D07538" w:rsidRPr="00B9098B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Higiene habitacional</w:t>
            </w:r>
          </w:p>
        </w:tc>
      </w:tr>
      <w:tr w:rsidR="00D07538" w:rsidRPr="00B9098B" w:rsidTr="00A3733E">
        <w:trPr>
          <w:trHeight w:val="264"/>
        </w:trPr>
        <w:tc>
          <w:tcPr>
            <w:tcW w:w="3828" w:type="dxa"/>
            <w:vMerge/>
            <w:vAlign w:val="center"/>
          </w:tcPr>
          <w:p w:rsidR="00D07538" w:rsidRPr="006F4359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07538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b/>
                <w:bCs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2127" w:type="dxa"/>
            <w:vMerge/>
            <w:shd w:val="clear" w:color="auto" w:fill="E5DFEC" w:themeFill="accent4" w:themeFillTint="33"/>
            <w:noWrap/>
            <w:vAlign w:val="bottom"/>
            <w:hideMark/>
          </w:tcPr>
          <w:p w:rsidR="00D07538" w:rsidRPr="00B9098B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3612" w:type="dxa"/>
            <w:vAlign w:val="center"/>
          </w:tcPr>
          <w:p w:rsidR="00D07538" w:rsidRPr="00B9098B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Realização de pequenas modificações ou reparações no domicílio</w:t>
            </w:r>
          </w:p>
        </w:tc>
      </w:tr>
      <w:tr w:rsidR="00D07538" w:rsidRPr="00B9098B" w:rsidTr="00A3733E">
        <w:trPr>
          <w:trHeight w:val="613"/>
        </w:trPr>
        <w:tc>
          <w:tcPr>
            <w:tcW w:w="3828" w:type="dxa"/>
            <w:vMerge/>
            <w:vAlign w:val="center"/>
          </w:tcPr>
          <w:p w:rsidR="00D07538" w:rsidRPr="00AF0231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07538" w:rsidRPr="00B9098B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2127" w:type="dxa"/>
            <w:vMerge/>
            <w:shd w:val="clear" w:color="auto" w:fill="E5DFEC" w:themeFill="accent4" w:themeFillTint="33"/>
            <w:noWrap/>
            <w:vAlign w:val="bottom"/>
            <w:hideMark/>
          </w:tcPr>
          <w:p w:rsidR="00D07538" w:rsidRPr="00B9098B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3612" w:type="dxa"/>
            <w:vAlign w:val="center"/>
          </w:tcPr>
          <w:p w:rsidR="00D07538" w:rsidRPr="00B9098B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Lavagem e Tratamento de Roupa</w:t>
            </w:r>
          </w:p>
        </w:tc>
      </w:tr>
      <w:tr w:rsidR="00D07538" w:rsidRPr="00B9098B" w:rsidTr="00C942DE">
        <w:trPr>
          <w:trHeight w:val="612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D07538" w:rsidRPr="00AF0231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7538" w:rsidRPr="00B9098B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D07538" w:rsidRPr="00B9098B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vAlign w:val="center"/>
          </w:tcPr>
          <w:p w:rsidR="00D07538" w:rsidRPr="00B9098B" w:rsidRDefault="00D07538" w:rsidP="00A3733E">
            <w:pPr>
              <w:spacing w:line="240" w:lineRule="auto"/>
              <w:jc w:val="left"/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</w:pPr>
            <w:r w:rsidRPr="00B9098B">
              <w:rPr>
                <w:rFonts w:ascii="Comic Sans MS" w:eastAsia="Times New Roman" w:hAnsi="Comic Sans MS" w:cs="Calibri"/>
                <w:color w:val="000000"/>
                <w:sz w:val="22"/>
                <w:szCs w:val="22"/>
                <w:lang w:eastAsia="pt-PT"/>
              </w:rPr>
              <w:t>Adaptações, eliminação de barreiras físicas, aquisição de equipamentos que permitam a mobilidade, segurança e o conforto no domicílio em articulação com os serviços da comunidade</w:t>
            </w:r>
          </w:p>
        </w:tc>
      </w:tr>
    </w:tbl>
    <w:p w:rsidR="00667FE5" w:rsidRDefault="00667FE5"/>
    <w:p w:rsidR="00510AA9" w:rsidRDefault="00510AA9"/>
    <w:p w:rsidR="00510AA9" w:rsidRDefault="00510AA9"/>
    <w:sectPr w:rsidR="00510AA9" w:rsidSect="000A0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68" w:rsidRDefault="00E81568" w:rsidP="000B38E2">
      <w:pPr>
        <w:spacing w:line="240" w:lineRule="auto"/>
      </w:pPr>
      <w:r>
        <w:separator/>
      </w:r>
    </w:p>
  </w:endnote>
  <w:endnote w:type="continuationSeparator" w:id="0">
    <w:p w:rsidR="00E81568" w:rsidRDefault="00E81568" w:rsidP="000B3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35 Thin">
    <w:altName w:val="Arial"/>
    <w:charset w:val="00"/>
    <w:family w:val="swiss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68" w:rsidRDefault="00E8156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dotted" w:sz="4" w:space="0" w:color="auto"/>
      </w:tblBorders>
      <w:tblLook w:val="04A0"/>
    </w:tblPr>
    <w:tblGrid>
      <w:gridCol w:w="1967"/>
      <w:gridCol w:w="4897"/>
      <w:gridCol w:w="1032"/>
      <w:gridCol w:w="1710"/>
    </w:tblGrid>
    <w:tr w:rsidR="00E81568" w:rsidRPr="009A4831" w:rsidTr="008A334B">
      <w:trPr>
        <w:trHeight w:val="972"/>
      </w:trPr>
      <w:tc>
        <w:tcPr>
          <w:tcW w:w="1967" w:type="dxa"/>
        </w:tcPr>
        <w:p w:rsidR="00E81568" w:rsidRPr="009A4831" w:rsidRDefault="00E81568" w:rsidP="000B38E2">
          <w:pPr>
            <w:spacing w:before="40"/>
            <w:rPr>
              <w:rFonts w:ascii="Comic Sans MS" w:hAnsi="Comic Sans MS"/>
              <w:sz w:val="14"/>
              <w:szCs w:val="14"/>
            </w:rPr>
          </w:pPr>
        </w:p>
      </w:tc>
      <w:tc>
        <w:tcPr>
          <w:tcW w:w="4897" w:type="dxa"/>
        </w:tcPr>
        <w:p w:rsidR="00E81568" w:rsidRPr="009A4831" w:rsidRDefault="00E81568" w:rsidP="000B38E2">
          <w:pPr>
            <w:pStyle w:val="Rodap"/>
            <w:spacing w:before="40"/>
            <w:jc w:val="center"/>
            <w:rPr>
              <w:rFonts w:ascii="Comic Sans MS" w:hAnsi="Comic Sans MS" w:cs="Arial"/>
              <w:sz w:val="14"/>
              <w:szCs w:val="14"/>
            </w:rPr>
          </w:pPr>
          <w:r>
            <w:rPr>
              <w:rFonts w:ascii="Comic Sans MS" w:hAnsi="Comic Sans MS" w:cs="Arial"/>
              <w:sz w:val="14"/>
              <w:szCs w:val="14"/>
            </w:rPr>
            <w:t>Serviço de Apoio Domiciliário</w:t>
          </w:r>
        </w:p>
      </w:tc>
      <w:tc>
        <w:tcPr>
          <w:tcW w:w="1032" w:type="dxa"/>
        </w:tcPr>
        <w:p w:rsidR="00E81568" w:rsidRPr="009A4831" w:rsidRDefault="00FA085E" w:rsidP="000B38E2">
          <w:pPr>
            <w:pStyle w:val="Rodap"/>
            <w:spacing w:before="40" w:after="40"/>
            <w:jc w:val="center"/>
            <w:rPr>
              <w:rFonts w:ascii="Comic Sans MS" w:hAnsi="Comic Sans MS" w:cs="Arial"/>
              <w:noProof/>
              <w:sz w:val="14"/>
              <w:szCs w:val="14"/>
            </w:rPr>
          </w:pPr>
          <w:r w:rsidRPr="00810352">
            <w:rPr>
              <w:rStyle w:val="Nmerodepgina"/>
              <w:rFonts w:ascii="Comic Sans MS" w:hAnsi="Comic Sans MS"/>
              <w:sz w:val="14"/>
              <w:szCs w:val="14"/>
            </w:rPr>
            <w:fldChar w:fldCharType="begin"/>
          </w:r>
          <w:r w:rsidR="00E81568" w:rsidRPr="00810352">
            <w:rPr>
              <w:rStyle w:val="Nmerodepgina"/>
              <w:rFonts w:ascii="Comic Sans MS" w:hAnsi="Comic Sans MS"/>
              <w:sz w:val="14"/>
              <w:szCs w:val="14"/>
            </w:rPr>
            <w:instrText xml:space="preserve"> PAGE </w:instrText>
          </w:r>
          <w:r w:rsidRPr="00810352">
            <w:rPr>
              <w:rStyle w:val="Nmerodepgina"/>
              <w:rFonts w:ascii="Comic Sans MS" w:hAnsi="Comic Sans MS"/>
              <w:sz w:val="14"/>
              <w:szCs w:val="14"/>
            </w:rPr>
            <w:fldChar w:fldCharType="separate"/>
          </w:r>
          <w:r w:rsidR="00604AC4">
            <w:rPr>
              <w:rStyle w:val="Nmerodepgina"/>
              <w:rFonts w:ascii="Comic Sans MS" w:hAnsi="Comic Sans MS"/>
              <w:noProof/>
              <w:sz w:val="14"/>
              <w:szCs w:val="14"/>
            </w:rPr>
            <w:t>1</w:t>
          </w:r>
          <w:r w:rsidRPr="00810352">
            <w:rPr>
              <w:rStyle w:val="Nmerodepgina"/>
              <w:rFonts w:ascii="Comic Sans MS" w:hAnsi="Comic Sans MS"/>
              <w:sz w:val="14"/>
              <w:szCs w:val="14"/>
            </w:rPr>
            <w:fldChar w:fldCharType="end"/>
          </w:r>
          <w:r w:rsidR="00E81568" w:rsidRPr="00810352">
            <w:rPr>
              <w:rStyle w:val="Nmerodepgina"/>
              <w:rFonts w:ascii="Comic Sans MS" w:hAnsi="Comic Sans MS"/>
              <w:sz w:val="14"/>
              <w:szCs w:val="14"/>
            </w:rPr>
            <w:t>/</w:t>
          </w:r>
          <w:r w:rsidRPr="00810352">
            <w:rPr>
              <w:rStyle w:val="Nmerodepgina"/>
              <w:rFonts w:ascii="Comic Sans MS" w:hAnsi="Comic Sans MS"/>
              <w:sz w:val="14"/>
              <w:szCs w:val="14"/>
            </w:rPr>
            <w:fldChar w:fldCharType="begin"/>
          </w:r>
          <w:r w:rsidR="00E81568" w:rsidRPr="00810352">
            <w:rPr>
              <w:rStyle w:val="Nmerodepgina"/>
              <w:rFonts w:ascii="Comic Sans MS" w:hAnsi="Comic Sans MS"/>
              <w:sz w:val="14"/>
              <w:szCs w:val="14"/>
            </w:rPr>
            <w:instrText xml:space="preserve"> NUMPAGES </w:instrText>
          </w:r>
          <w:r w:rsidRPr="00810352">
            <w:rPr>
              <w:rStyle w:val="Nmerodepgina"/>
              <w:rFonts w:ascii="Comic Sans MS" w:hAnsi="Comic Sans MS"/>
              <w:sz w:val="14"/>
              <w:szCs w:val="14"/>
            </w:rPr>
            <w:fldChar w:fldCharType="separate"/>
          </w:r>
          <w:r w:rsidR="00604AC4">
            <w:rPr>
              <w:rStyle w:val="Nmerodepgina"/>
              <w:rFonts w:ascii="Comic Sans MS" w:hAnsi="Comic Sans MS"/>
              <w:noProof/>
              <w:sz w:val="14"/>
              <w:szCs w:val="14"/>
            </w:rPr>
            <w:t>2</w:t>
          </w:r>
          <w:r w:rsidRPr="00810352">
            <w:rPr>
              <w:rStyle w:val="Nmerodepgina"/>
              <w:rFonts w:ascii="Comic Sans MS" w:hAnsi="Comic Sans MS"/>
              <w:sz w:val="14"/>
              <w:szCs w:val="14"/>
            </w:rPr>
            <w:fldChar w:fldCharType="end"/>
          </w:r>
        </w:p>
      </w:tc>
      <w:tc>
        <w:tcPr>
          <w:tcW w:w="1710" w:type="dxa"/>
          <w:vAlign w:val="center"/>
        </w:tcPr>
        <w:p w:rsidR="00E81568" w:rsidRPr="009A4831" w:rsidRDefault="00E81568" w:rsidP="000B38E2">
          <w:pPr>
            <w:pStyle w:val="Rodap"/>
            <w:spacing w:before="40" w:after="40"/>
            <w:jc w:val="right"/>
            <w:rPr>
              <w:rFonts w:ascii="Comic Sans MS" w:hAnsi="Comic Sans MS" w:cs="Arial"/>
              <w:noProof/>
              <w:sz w:val="14"/>
              <w:szCs w:val="14"/>
            </w:rPr>
          </w:pPr>
        </w:p>
      </w:tc>
    </w:tr>
  </w:tbl>
  <w:p w:rsidR="00E81568" w:rsidRDefault="00E8156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68" w:rsidRDefault="00E815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68" w:rsidRDefault="00E81568" w:rsidP="000B38E2">
      <w:pPr>
        <w:spacing w:line="240" w:lineRule="auto"/>
      </w:pPr>
      <w:r>
        <w:separator/>
      </w:r>
    </w:p>
  </w:footnote>
  <w:footnote w:type="continuationSeparator" w:id="0">
    <w:p w:rsidR="00E81568" w:rsidRDefault="00E81568" w:rsidP="000B38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68" w:rsidRDefault="00E8156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3" w:type="dxa"/>
      <w:tblBorders>
        <w:bottom w:val="dotted" w:sz="4" w:space="0" w:color="auto"/>
      </w:tblBorders>
      <w:tblLook w:val="04A0"/>
    </w:tblPr>
    <w:tblGrid>
      <w:gridCol w:w="1476"/>
      <w:gridCol w:w="6163"/>
      <w:gridCol w:w="2004"/>
    </w:tblGrid>
    <w:tr w:rsidR="00E81568" w:rsidRPr="00033715" w:rsidTr="008A334B">
      <w:trPr>
        <w:trHeight w:val="1040"/>
      </w:trPr>
      <w:tc>
        <w:tcPr>
          <w:tcW w:w="1476" w:type="dxa"/>
          <w:vAlign w:val="center"/>
        </w:tcPr>
        <w:p w:rsidR="00E81568" w:rsidRPr="00033715" w:rsidRDefault="00E81568" w:rsidP="000B38E2">
          <w:pPr>
            <w:pStyle w:val="Ttulo"/>
            <w:ind w:hanging="142"/>
            <w:jc w:val="left"/>
            <w:rPr>
              <w:rFonts w:ascii="Comic Sans MS" w:hAnsi="Comic Sans MS" w:cs="Arial"/>
              <w:b w:val="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438150" cy="466725"/>
                <wp:effectExtent l="38100" t="0" r="19050" b="0"/>
                <wp:docPr id="1" name="Imagem 1" descr="CERCIESPIN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RCIESPIN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 rot="16200000" flipH="1" flipV="1">
                          <a:off x="0" y="0"/>
                          <a:ext cx="4381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vAlign w:val="center"/>
        </w:tcPr>
        <w:p w:rsidR="00E81568" w:rsidRPr="00033715" w:rsidRDefault="00E81568" w:rsidP="000B38E2">
          <w:pPr>
            <w:pStyle w:val="Ttulo"/>
            <w:spacing w:before="40" w:after="40"/>
            <w:rPr>
              <w:rFonts w:ascii="Comic Sans MS" w:hAnsi="Comic Sans MS" w:cs="Arial"/>
              <w:b w:val="0"/>
              <w:sz w:val="14"/>
              <w:szCs w:val="14"/>
            </w:rPr>
          </w:pPr>
        </w:p>
      </w:tc>
      <w:tc>
        <w:tcPr>
          <w:tcW w:w="2004" w:type="dxa"/>
        </w:tcPr>
        <w:p w:rsidR="00E81568" w:rsidRPr="00033715" w:rsidRDefault="00E81568" w:rsidP="000B38E2">
          <w:pPr>
            <w:pStyle w:val="Ttulo"/>
            <w:spacing w:before="40" w:after="40"/>
            <w:jc w:val="right"/>
            <w:rPr>
              <w:rFonts w:ascii="Comic Sans MS" w:hAnsi="Comic Sans MS" w:cs="Arial"/>
              <w:b w:val="0"/>
              <w:sz w:val="14"/>
              <w:szCs w:val="14"/>
            </w:rPr>
          </w:pPr>
        </w:p>
      </w:tc>
    </w:tr>
  </w:tbl>
  <w:p w:rsidR="00E81568" w:rsidRDefault="00E81568">
    <w:pPr>
      <w:pStyle w:val="Cabealho"/>
    </w:pPr>
  </w:p>
  <w:p w:rsidR="00E81568" w:rsidRDefault="00E8156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68" w:rsidRDefault="00E8156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604CE"/>
    <w:rsid w:val="0002545D"/>
    <w:rsid w:val="00040C46"/>
    <w:rsid w:val="00056C73"/>
    <w:rsid w:val="000A0BD3"/>
    <w:rsid w:val="000B38E2"/>
    <w:rsid w:val="001310F0"/>
    <w:rsid w:val="001604CE"/>
    <w:rsid w:val="00186A80"/>
    <w:rsid w:val="00193105"/>
    <w:rsid w:val="001B1020"/>
    <w:rsid w:val="001D1A64"/>
    <w:rsid w:val="002B270B"/>
    <w:rsid w:val="002E3EEF"/>
    <w:rsid w:val="003C2073"/>
    <w:rsid w:val="003E0EA4"/>
    <w:rsid w:val="004E1190"/>
    <w:rsid w:val="00510AA9"/>
    <w:rsid w:val="005174F2"/>
    <w:rsid w:val="005254D0"/>
    <w:rsid w:val="005E01B9"/>
    <w:rsid w:val="005F27AD"/>
    <w:rsid w:val="00604AC4"/>
    <w:rsid w:val="00623E14"/>
    <w:rsid w:val="00644AF3"/>
    <w:rsid w:val="00667FE5"/>
    <w:rsid w:val="006C1878"/>
    <w:rsid w:val="006D2CC8"/>
    <w:rsid w:val="006E1B2E"/>
    <w:rsid w:val="006F4359"/>
    <w:rsid w:val="00706BE8"/>
    <w:rsid w:val="0083563B"/>
    <w:rsid w:val="008A334B"/>
    <w:rsid w:val="008D3D79"/>
    <w:rsid w:val="00962E14"/>
    <w:rsid w:val="00975370"/>
    <w:rsid w:val="00983A81"/>
    <w:rsid w:val="009A0ED8"/>
    <w:rsid w:val="009D5537"/>
    <w:rsid w:val="009E5EE6"/>
    <w:rsid w:val="00A13FA6"/>
    <w:rsid w:val="00A203FA"/>
    <w:rsid w:val="00A3733E"/>
    <w:rsid w:val="00AA1998"/>
    <w:rsid w:val="00AB0BB7"/>
    <w:rsid w:val="00AC6128"/>
    <w:rsid w:val="00AF0231"/>
    <w:rsid w:val="00AF3C1C"/>
    <w:rsid w:val="00B11013"/>
    <w:rsid w:val="00B47266"/>
    <w:rsid w:val="00B743F0"/>
    <w:rsid w:val="00B77922"/>
    <w:rsid w:val="00BA2F3E"/>
    <w:rsid w:val="00BD46D8"/>
    <w:rsid w:val="00C27ED6"/>
    <w:rsid w:val="00C4619A"/>
    <w:rsid w:val="00C910F0"/>
    <w:rsid w:val="00C942DE"/>
    <w:rsid w:val="00CD3927"/>
    <w:rsid w:val="00CE562C"/>
    <w:rsid w:val="00D07538"/>
    <w:rsid w:val="00D10958"/>
    <w:rsid w:val="00D47F63"/>
    <w:rsid w:val="00D70535"/>
    <w:rsid w:val="00DC20B8"/>
    <w:rsid w:val="00DE32F7"/>
    <w:rsid w:val="00E07651"/>
    <w:rsid w:val="00E12786"/>
    <w:rsid w:val="00E24D25"/>
    <w:rsid w:val="00E43B4C"/>
    <w:rsid w:val="00E52BB7"/>
    <w:rsid w:val="00E81568"/>
    <w:rsid w:val="00EB0AFE"/>
    <w:rsid w:val="00F21F8F"/>
    <w:rsid w:val="00F27256"/>
    <w:rsid w:val="00F47C07"/>
    <w:rsid w:val="00F837D0"/>
    <w:rsid w:val="00F86895"/>
    <w:rsid w:val="00FA085E"/>
    <w:rsid w:val="00FF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CE"/>
    <w:pPr>
      <w:spacing w:after="0" w:line="360" w:lineRule="auto"/>
      <w:jc w:val="both"/>
    </w:pPr>
    <w:rPr>
      <w:rFonts w:ascii="Helvetica 35 Thin" w:eastAsia="Calibri" w:hAnsi="Helvetica 35 Thin" w:cs="Times New Roman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B38E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B38E2"/>
    <w:rPr>
      <w:rFonts w:ascii="Helvetica 35 Thin" w:eastAsia="Calibri" w:hAnsi="Helvetica 35 Thin" w:cs="Times New Roman"/>
      <w:sz w:val="20"/>
      <w:szCs w:val="20"/>
    </w:rPr>
  </w:style>
  <w:style w:type="paragraph" w:styleId="Rodap">
    <w:name w:val="footer"/>
    <w:basedOn w:val="Normal"/>
    <w:link w:val="RodapCarcter"/>
    <w:unhideWhenUsed/>
    <w:rsid w:val="000B38E2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0B38E2"/>
    <w:rPr>
      <w:rFonts w:ascii="Helvetica 35 Thin" w:eastAsia="Calibri" w:hAnsi="Helvetica 35 Thin" w:cs="Times New Roman"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B38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B38E2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arcter"/>
    <w:qFormat/>
    <w:rsid w:val="000B38E2"/>
    <w:pPr>
      <w:spacing w:line="240" w:lineRule="auto"/>
      <w:jc w:val="center"/>
    </w:pPr>
    <w:rPr>
      <w:rFonts w:ascii="Times New Roman" w:eastAsia="Times New Roman" w:hAnsi="Times New Roman"/>
      <w:b/>
      <w:bCs/>
      <w:sz w:val="28"/>
      <w:lang w:eastAsia="pt-PT"/>
    </w:rPr>
  </w:style>
  <w:style w:type="character" w:customStyle="1" w:styleId="TtuloCarcter">
    <w:name w:val="Título Carácter"/>
    <w:basedOn w:val="Tipodeletrapredefinidodopargrafo"/>
    <w:link w:val="Ttulo"/>
    <w:rsid w:val="000B38E2"/>
    <w:rPr>
      <w:rFonts w:ascii="Times New Roman" w:eastAsia="Times New Roman" w:hAnsi="Times New Roman" w:cs="Times New Roman"/>
      <w:b/>
      <w:bCs/>
      <w:sz w:val="28"/>
      <w:szCs w:val="20"/>
      <w:lang w:eastAsia="pt-PT"/>
    </w:rPr>
  </w:style>
  <w:style w:type="character" w:styleId="Nmerodepgina">
    <w:name w:val="page number"/>
    <w:basedOn w:val="Tipodeletrapredefinidodopargrafo"/>
    <w:rsid w:val="000B3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FBD7-3763-46A3-B1F8-F7E076E8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cp:lastPrinted>2025-05-28T11:37:00Z</cp:lastPrinted>
  <dcterms:created xsi:type="dcterms:W3CDTF">2025-05-28T11:39:00Z</dcterms:created>
  <dcterms:modified xsi:type="dcterms:W3CDTF">2025-05-28T11:39:00Z</dcterms:modified>
</cp:coreProperties>
</file>